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Style w:val="MdHeading1"/>
      </w:pPr>
      <w:r>
        <w:t xml:space="preserve">Roman Military Training and Evidence on the Cheshire Sandstone Ridge near Deva Victrix</w:t>
      </w:r>
    </w:p>
    <w:p>
      <w:pPr>
        <w:pStyle w:val="MdParagraph"/>
      </w:pPr>
      <w:r>
        <w:t xml:space="preserve">The Roman legionary fortress of </w:t>
      </w:r>
      <w:r>
        <w:rPr>
          <w:rStyle w:val="MdStrong"/>
          <w:b/>
          <w:bCs/>
        </w:rPr>
        <w:t xml:space="preserve">Deva Victrix</w:t>
      </w:r>
      <w:r>
        <w:t xml:space="preserve"> (modern Chester) served as the base for the Twentieth Legion, </w:t>
      </w:r>
      <w:r>
        <w:rPr>
          <w:rStyle w:val="MdEm"/>
          <w:i/>
          <w:iCs/>
        </w:rPr>
        <w:t xml:space="preserve">Valeria Victrix</w:t>
      </w:r>
      <w:r>
        <w:t xml:space="preserve">, from the late first century AD. The fortress was strategically positioned on a prominent </w:t>
      </w:r>
      <w:r>
        <w:rPr>
          <w:rStyle w:val="MdStrong"/>
          <w:b/>
          <w:bCs/>
        </w:rPr>
        <w:t xml:space="preserve">sandstone ridge</w:t>
      </w:r>
      <w:r>
        <w:t xml:space="preserve"> overlooking the River Dee, a geographical feature that extends southwards and forms the distinctive </w:t>
      </w:r>
      <w:r>
        <w:rPr>
          <w:rStyle w:val="MdStrong"/>
          <w:b/>
          <w:bCs/>
        </w:rPr>
        <w:t xml:space="preserve">Cheshire Sandstone Ridge</w:t>
      </w:r>
      <w:r>
        <w:t xml:space="preserve"> [1] [2]. This landscape, characterized by rolling hills, steep escarpments, and difficult terrain, provided an ideal environment for the rigorous training exercises that were a hallmark of the Roman military [3].</w:t>
      </w:r>
    </w:p>
    <w:p>
      <w:pPr>
        <w:pStyle w:val="MdSpace"/>
        <w:spacing w:before="0" w:after="60"/>
      </w:pPr>
    </w:p>
    <w:p>
      <w:pPr>
        <w:pStyle w:val="Heading2"/>
        <w:pStyle w:val="MdHeading2"/>
      </w:pPr>
      <w:r>
        <w:t xml:space="preserve">The Cheshire Sandstone Ridge as Difficult Terrain</w:t>
      </w:r>
    </w:p>
    <w:p>
      <w:pPr>
        <w:pStyle w:val="MdParagraph"/>
      </w:pPr>
      <w:r>
        <w:t xml:space="preserve">The Roman army placed a high value on training in varied and challenging environments to prepare soldiers for campaigning in diverse territories, particularly in the rugged frontier regions of Britannia. The Cheshire Sandstone Ridge, which runs north-south through the county, presents a significant contrast to the surrounding low-lying Cheshire Plain [4]. Its topography, including steep slopes and rocky outcrops, would have been utilized by the legionaries of Deva Victrix for exercises in marching, fortification, and combat under challenging conditions.</w:t>
      </w:r>
    </w:p>
    <w:p>
      <w:pPr>
        <w:pStyle w:val="MdSpace"/>
        <w:spacing w:before="0" w:after="60"/>
      </w:pPr>
    </w:p>
    <w:p>
      <w:pPr>
        <w:pStyle w:val="MdParagraph"/>
      </w:pPr>
      <w:r>
        <w:t xml:space="preserve">One of the most prominent features of this difficult terrain is </w:t>
      </w:r>
      <w:r>
        <w:rPr>
          <w:rStyle w:val="MdStrong"/>
          <w:b/>
          <w:bCs/>
        </w:rPr>
        <w:t xml:space="preserve">Bickerton Hill</w:t>
      </w:r>
      <w:r>
        <w:t xml:space="preserve">, which contains the Iron Age hillfort known as </w:t>
      </w:r>
      <w:r>
        <w:rPr>
          <w:rStyle w:val="MdStrong"/>
          <w:b/>
          <w:bCs/>
        </w:rPr>
        <w:t xml:space="preserve">Maiden Castle</w:t>
      </w:r>
      <w:r>
        <w:t xml:space="preserve"> [5]. While the hillfort's defensive position and steep approaches would have made it an excellent location for Roman troops to practice siege warfare and assault tactics, current archaeological evidence does not definitively confirm its use as a Roman training ground [6]. The site is known to have been used for military training in the 20th century, which involved the digging of numerous slit trenches, but direct Roman-era training evidence remains elusive [7].</w:t>
      </w:r>
    </w:p>
    <w:p>
      <w:pPr>
        <w:pStyle w:val="MdSpace"/>
        <w:spacing w:before="0" w:after="60"/>
      </w:pPr>
    </w:p>
    <w:p>
      <w:pPr>
        <w:pStyle w:val="Heading2"/>
        <w:pStyle w:val="MdHeading2"/>
      </w:pPr>
      <w:r>
        <w:t xml:space="preserve">Archaeological Evidence: Roman Practice Camps</w:t>
      </w:r>
    </w:p>
    <w:p>
      <w:pPr>
        <w:pStyle w:val="MdParagraph"/>
      </w:pPr>
      <w:r>
        <w:t xml:space="preserve">The most concrete archaeological evidence for Roman military training near Deva Victrix is the cluster of temporary or marching camps located in the immediate hinterland to the east of the fortress, a region that aligns with the western edge of the Sandstone Ridge. These camps are generally interpreted by archaeologists as </w:t>
      </w:r>
      <w:r>
        <w:rPr>
          <w:rStyle w:val="MdStrong"/>
          <w:b/>
          <w:bCs/>
        </w:rPr>
        <w:t xml:space="preserve">practice camps</w:t>
      </w:r>
      <w:r>
        <w:t xml:space="preserve"> (</w:t>
      </w:r>
      <w:r>
        <w:rPr>
          <w:rStyle w:val="MdEm"/>
          <w:i/>
          <w:iCs/>
        </w:rPr>
        <w:t xml:space="preserve">castra aestiva</w:t>
      </w:r>
      <w:r>
        <w:t xml:space="preserve"> or </w:t>
      </w:r>
      <w:r>
        <w:rPr>
          <w:rStyle w:val="MdEm"/>
          <w:i/>
          <w:iCs/>
        </w:rPr>
        <w:t xml:space="preserve">castra hiberna</w:t>
      </w:r>
      <w:r>
        <w:t xml:space="preserve">) constructed by the legionaries as part of their field training and manoeuvres [8].</w:t>
      </w:r>
    </w:p>
    <w:p>
      <w:pPr>
        <w:pStyle w:val="MdSpace"/>
        <w:spacing w:before="0" w:after="60"/>
      </w:pPr>
    </w:p>
    <w:p>
      <w:pPr>
        <w:pStyle w:val="MdParagraph"/>
      </w:pPr>
      <w:r>
        <w:t xml:space="preserve">A notable example is the </w:t>
      </w:r>
      <w:r>
        <w:rPr>
          <w:rStyle w:val="MdStrong"/>
          <w:b/>
          <w:bCs/>
        </w:rPr>
        <w:t xml:space="preserve">Manley Marching Camp</w:t>
      </w:r>
      <w:r>
        <w:t xml:space="preserve"> (OS National Grid Reference: SJ5072), discovered through aerial photography in 1994 [9]. Located approximately 10 to 11 kilometers east of Deva Victrix, the camp's partial remains suggest dimensions of approximately 130 x 115 meters, covering an area of about 1.49 hectares [9]. The discovery of this camp, along with others in the vicinity such as those at Cinders Lane, Christleton, and Hoole, indicates a pattern of intensive field training exercises conducted by the garrison of Deva Victrix [10].</w:t>
      </w:r>
    </w:p>
    <w:p>
      <w:pPr>
        <w:pStyle w:val="MdSpace"/>
        <w:spacing w:before="0" w:after="60"/>
      </w:pPr>
    </w:p>
    <w:p>
      <w:pPr>
        <w:pStyle w:val="MdParagraph"/>
      </w:pPr>
      <w:r>
        <w:t xml:space="preserve">These practice camps, often built and dismantled quickly, served multiple training purposes:</w:t>
      </w:r>
    </w:p>
    <w:p>
      <w:pPr>
        <w:pStyle w:val="MdListItem"/>
        <w:numPr>
          <w:ilvl w:val="0"/>
          <w:numId w:val="2"/>
        </w:numPr>
      </w:pPr>
      <w:r>
        <w:rPr>
          <w:rStyle w:val="MdStrong"/>
          <w:b/>
          <w:bCs/>
        </w:rPr>
        <w:t xml:space="preserve">Fortification Practice:</w:t>
      </w:r>
      <w:r>
        <w:t xml:space="preserve"> Troops would practice the rapid construction of temporary defensive works, including the digging of ditches and the erection of ramparts, a fundamental skill for any Roman army on the march.</w:t>
      </w:r>
    </w:p>
    <w:p>
      <w:pPr>
        <w:pStyle w:val="MdListItem"/>
        <w:numPr>
          <w:ilvl w:val="0"/>
          <w:numId w:val="2"/>
        </w:numPr>
      </w:pPr>
      <w:r>
        <w:rPr>
          <w:rStyle w:val="MdStrong"/>
          <w:b/>
          <w:bCs/>
        </w:rPr>
        <w:t xml:space="preserve">Manoeuvres:</w:t>
      </w:r>
      <w:r>
        <w:t xml:space="preserve"> The camps mark the routes and stopping points of larger-scale military exercises, simulating campaign conditions across the varied terrain of the Sandstone Ridge.</w:t>
      </w:r>
    </w:p>
    <w:p>
      <w:pPr>
        <w:pStyle w:val="MdSpace"/>
        <w:spacing w:before="0" w:after="60"/>
      </w:pPr>
    </w:p>
    <w:p>
      <w:pPr>
        <w:pStyle w:val="MdParagraph"/>
      </w:pPr>
      <w:r>
        <w:t xml:space="preserve">The presence of these camps, particularly in a cluster to the east of the fortress, strongly supports the user's premise that Roman soldiers from Deva Victrix trained extensively in the local difficult terrain, utilizing the geographical features of the Sandstone Ridge for realistic and demanding military exercises.</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References</w:t>
      </w:r>
    </w:p>
    <w:p>
      <w:pPr>
        <w:pStyle w:val="MdParagraph"/>
      </w:pPr>
      <w:r>
        <w:t xml:space="preserve">[1] Deva Victrix. </w:t>
      </w:r>
      <w:r>
        <w:rPr>
          <w:rStyle w:val="MdEm"/>
          <w:i/>
          <w:iCs/>
        </w:rPr>
        <w:t xml:space="preserve">Wikipedia</w:t>
      </w:r>
      <w:r>
        <w:t xml:space="preserve">. </w:t>
      </w:r>
      <w:hyperlink w:history="1" r:id="rIdbjdmtnpu_hhekygh_xgk4">
        <w:r>
          <w:rPr>
            <w:rStyle w:val="MdLink"/>
          </w:rPr>
          <w:t xml:space="preserve">https://en.wikipedia.org/wiki/Deva_Victrix</w:t>
        </w:r>
      </w:hyperlink>
      <w:r>
        <w:t xml:space="preserve">
[2] Tag: Triassic Sandstone at Chester. </w:t>
      </w:r>
      <w:r>
        <w:rPr>
          <w:rStyle w:val="MdEm"/>
          <w:i/>
          <w:iCs/>
        </w:rPr>
        <w:t xml:space="preserve">Milliethom.com</w:t>
      </w:r>
      <w:r>
        <w:t xml:space="preserve">. </w:t>
      </w:r>
      <w:hyperlink w:history="1" r:id="rIdk6rznxdctehyebtvmkxyt">
        <w:r>
          <w:rPr>
            <w:rStyle w:val="MdLink"/>
          </w:rPr>
          <w:t xml:space="preserve">https://milliethom.com/tag/triassic-sandstone-at-chester/</w:t>
        </w:r>
      </w:hyperlink>
      <w:r>
        <w:t xml:space="preserve">
[3] PICTORIAL HISTORY OF THE SANDSTONE RIDGE. </w:t>
      </w:r>
      <w:r>
        <w:rPr>
          <w:rStyle w:val="MdEm"/>
          <w:i/>
          <w:iCs/>
        </w:rPr>
        <w:t xml:space="preserve">Kingsleyvillage.co.uk</w:t>
      </w:r>
      <w:r>
        <w:t xml:space="preserve">. </w:t>
      </w:r>
      <w:hyperlink w:history="1" r:id="rIdqe3-saaujp_uiusekeu-7">
        <w:r>
          <w:rPr>
            <w:rStyle w:val="MdLink"/>
          </w:rPr>
          <w:t xml:space="preserve">https://www.kingsleyvillage.co.uk/index.php/news/305-pictorial-history-of-the-sandstone-ridge</w:t>
        </w:r>
      </w:hyperlink>
      <w:r>
        <w:t xml:space="preserve">
[4] Cheshire Sandstone Ridge - Description. </w:t>
      </w:r>
      <w:r>
        <w:rPr>
          <w:rStyle w:val="MdEm"/>
          <w:i/>
          <w:iCs/>
        </w:rPr>
        <w:t xml:space="preserve">Nationalcharacterareas.co.uk</w:t>
      </w:r>
      <w:r>
        <w:t xml:space="preserve">. </w:t>
      </w:r>
      <w:hyperlink w:history="1" r:id="rIdn90d_avodmkktd9u0kzxp">
        <w:r>
          <w:rPr>
            <w:rStyle w:val="MdLink"/>
          </w:rPr>
          <w:t xml:space="preserve">https://nationalcharacterareas.co.uk/cheshire-sandstone-ridge/description/</w:t>
        </w:r>
      </w:hyperlink>
      <w:r>
        <w:t xml:space="preserve">
[5] Bickerton Hill. </w:t>
      </w:r>
      <w:r>
        <w:rPr>
          <w:rStyle w:val="MdEm"/>
          <w:i/>
          <w:iCs/>
        </w:rPr>
        <w:t xml:space="preserve">Wikipedia</w:t>
      </w:r>
      <w:r>
        <w:t xml:space="preserve">. </w:t>
      </w:r>
      <w:hyperlink w:history="1" r:id="rIdi24qknfweqxr1roen3hbm">
        <w:r>
          <w:rPr>
            <w:rStyle w:val="MdLink"/>
          </w:rPr>
          <w:t xml:space="preserve">https://en.wikipedia.org/wiki/Bickerton_Hill</w:t>
        </w:r>
      </w:hyperlink>
      <w:r>
        <w:t xml:space="preserve">
[6] Exploring Maiden Castle Iron Age Hillfort, Bickerton Hill... </w:t>
      </w:r>
      <w:r>
        <w:rPr>
          <w:rStyle w:val="MdEm"/>
          <w:i/>
          <w:iCs/>
        </w:rPr>
        <w:t xml:space="preserve">Basedinchurton.co.uk</w:t>
      </w:r>
      <w:r>
        <w:t xml:space="preserve">. </w:t>
      </w:r>
      <w:hyperlink w:history="1" r:id="rIdqwivyzu0hnts_ecdl3zbw">
        <w:r>
          <w:rPr>
            <w:rStyle w:val="MdLink"/>
          </w:rPr>
          <w:t xml:space="preserve">https://basedinchurton.co.uk/2025/12/01/exploring-maiden-castle-iron-age-hillfort-bickerton-hill-mid-cheshire-sandstone-ridge/</w:t>
        </w:r>
      </w:hyperlink>
      <w:r>
        <w:t xml:space="preserve">
[7] Bickerton Hill. </w:t>
      </w:r>
      <w:r>
        <w:rPr>
          <w:rStyle w:val="MdEm"/>
          <w:i/>
          <w:iCs/>
        </w:rPr>
        <w:t xml:space="preserve">Wikishire.co.uk</w:t>
      </w:r>
      <w:r>
        <w:t xml:space="preserve">. </w:t>
      </w:r>
      <w:hyperlink w:history="1" r:id="rIdymtmfow89uw-otkut71lg">
        <w:r>
          <w:rPr>
            <w:rStyle w:val="MdLink"/>
          </w:rPr>
          <w:t xml:space="preserve">https://wikishire.co.uk/wiki/Bickerton_Hill</w:t>
        </w:r>
      </w:hyperlink>
      <w:r>
        <w:t xml:space="preserve">
[8] Roman Hoole. </w:t>
      </w:r>
      <w:r>
        <w:rPr>
          <w:rStyle w:val="MdEm"/>
          <w:i/>
          <w:iCs/>
        </w:rPr>
        <w:t xml:space="preserve">Hoolehistoryheritagesociety.org.uk</w:t>
      </w:r>
      <w:r>
        <w:t xml:space="preserve">. </w:t>
      </w:r>
      <w:hyperlink w:history="1" r:id="rIdatgyjdtosdvf6uujfwtfz">
        <w:r>
          <w:rPr>
            <w:rStyle w:val="MdLink"/>
          </w:rPr>
          <w:t xml:space="preserve">https://www.hoolehistoryheritagesociety.org.uk/wiki/Roman_Hoole</w:t>
        </w:r>
      </w:hyperlink>
      <w:r>
        <w:t xml:space="preserve">
[9] Manley Marching Camp - Roman Britain. </w:t>
      </w:r>
      <w:r>
        <w:rPr>
          <w:rStyle w:val="MdEm"/>
          <w:i/>
          <w:iCs/>
        </w:rPr>
        <w:t xml:space="preserve">Roman-britain.co.uk</w:t>
      </w:r>
      <w:r>
        <w:t xml:space="preserve">. </w:t>
      </w:r>
      <w:hyperlink w:history="1" r:id="rIduitgyrq6fr84qn9ig0mjq">
        <w:r>
          <w:rPr>
            <w:rStyle w:val="MdLink"/>
          </w:rPr>
          <w:t xml:space="preserve">https://www.roman-britain.co.uk/places/manley/</w:t>
        </w:r>
      </w:hyperlink>
      <w:r>
        <w:t xml:space="preserve">
[10] Temporary Marching Camps in England - Roman Britain. </w:t>
      </w:r>
      <w:r>
        <w:rPr>
          <w:rStyle w:val="MdEm"/>
          <w:i/>
          <w:iCs/>
        </w:rPr>
        <w:t xml:space="preserve">Roman-britain.co.uk</w:t>
      </w:r>
      <w:r>
        <w:t xml:space="preserve">. </w:t>
      </w:r>
      <w:hyperlink w:history="1" r:id="rIdzi7ltwt-noulbb3tcfa91">
        <w:r>
          <w:rPr>
            <w:rStyle w:val="MdLink"/>
          </w:rPr>
          <w:t xml:space="preserve">https://www.roman-britain.co.uk/military/roman-fortresses-forts-and-camps/the-roman-military-in-britain-part-5-temporary-marching-camps-in-england/</w:t>
        </w:r>
      </w:hyperlink>
    </w:p>
    <w:p>
      <w:r>
        <w:br w:type="page"/>
      </w:r>
    </w:p>
    <w:sectPr>
      <w:pgSz w:w="11906" w:h="16838" w:orient="portrait"/>
      <w:pgMar w:top="1440" w:right="1440" w:bottom="1440" w:left="1440" w:header="708" w:footer="708" w:gutter="0"/>
      <w:pgNumType/>
      <w:docGrid w:linePitch="360"/>
    </w:sectPr>
    <w:p>
      <w:pPr>
        <w:pStyle w:val="Heading1"/>
      </w:pPr>
      <w:bookmarkStart w:id="20" w:name="X65bf75ac87637997c9e1b52e3f4dcea2dae7f5d"/>
      <w:r>
        <w:t xml:space="preserve">The Countryside and</w:t>
      </w:r>
      <w:r>
        <w:t xml:space="preserve"> </w:t>
      </w:r>
      <w:r>
        <w:rPr>
          <w:i/>
        </w:rPr>
        <w:t xml:space="preserve">Territorium</w:t>
      </w:r>
      <w:r>
        <w:t xml:space="preserve"> </w:t>
      </w:r>
      <w:r>
        <w:t xml:space="preserve">of Deva Victrix</w:t>
      </w:r>
      <w:bookmarkEnd w:id="20"/>
    </w:p>
    <w:p>
      <w:pPr>
        <w:pStyle w:val="FirstParagraph"/>
      </w:pPr>
      <w:r>
        <w:t xml:space="preserve">The Roman legionary fortress of</w:t>
      </w:r>
      <w:r>
        <w:t xml:space="preserve"> </w:t>
      </w:r>
      <w:r>
        <w:rPr>
          <w:b/>
        </w:rPr>
        <w:t xml:space="preserve">Deva Victrix</w:t>
      </w:r>
      <w:r>
        <w:t xml:space="preserve"> </w:t>
      </w:r>
      <w:r>
        <w:t xml:space="preserve">(modern Chester) was strategically positioned not only for military control but also to leverage the natural resources and geographical features of its surrounding landscape. The immediate countryside, known as the</w:t>
      </w:r>
      <w:r>
        <w:t xml:space="preserve"> </w:t>
      </w:r>
      <w:r>
        <w:rPr>
          <w:i/>
        </w:rPr>
        <w:t xml:space="preserve">territorium</w:t>
      </w:r>
      <w:r>
        <w:t xml:space="preserve">, was essential for the fortress’s sustenance, providing food, building materials, and a secure defensive perimeter for the resident legion, initially Legio II Adiutrix and later Legio XX Valeria Victrix [1].</w:t>
      </w:r>
    </w:p>
    <w:p>
      <w:pPr>
        <w:pStyle w:val="Heading2"/>
      </w:pPr>
      <w:bookmarkStart w:id="21" w:name="Xcaf5735df758bdb74cab48b8d77e9be6ad92cc3"/>
      <w:r>
        <w:t xml:space="preserve">Waterways: The Strategic Importance of the River Dee</w:t>
      </w:r>
      <w:bookmarkEnd w:id="21"/>
    </w:p>
    <w:p>
      <w:pPr>
        <w:pStyle w:val="FirstParagraph"/>
      </w:pPr>
      <w:r>
        <w:t xml:space="preserve">The most critical geographical feature was the</w:t>
      </w:r>
      <w:r>
        <w:t xml:space="preserve"> </w:t>
      </w:r>
      <w:r>
        <w:rPr>
          <w:b/>
        </w:rPr>
        <w:t xml:space="preserve">River Dee</w:t>
      </w:r>
      <w:r>
        <w:t xml:space="preserve">. The fortress was deliberately sited on a prominent sandstone bluff overlooking a natural bend in the river, which offered protection from the south and west [2]. This location was chosen because the river was navigable up to the sandstone ridge, making Deva Victrix a vital port and supply hub [2].</w:t>
      </w:r>
    </w:p>
    <w:p>
      <w:pPr>
        <w:pStyle w:val="BodyText"/>
      </w:pPr>
      <w:r>
        <w:t xml:space="preserve">The river served as the primary artery for transporting heavy and bulky goods, such as stone, timber, and supplies, from the wider region and overseas. The area now occupied by the Chester Racecourse, known as the Roodee, is believed to have been the site of the natural harbour [2]. Archaeological debate exists regarding the exact nature of the Roman quay walls, with some suggesting the visible stonework was too high to serve as a direct quay, possibly indicating a defensive wall for the civilian settlement (</w:t>
      </w:r>
      <w:r>
        <w:rPr>
          <w:i/>
        </w:rPr>
        <w:t xml:space="preserve">canabae</w:t>
      </w:r>
      <w:r>
        <w:t xml:space="preserve">) or that a long pier was necessary to reach the deepwater channel across the mudflats [2]. Regardless of the exact infrastructure, the River Dee was indispensable for the logistical support of the legion.</w:t>
      </w:r>
    </w:p>
    <w:p>
      <w:pPr>
        <w:pStyle w:val="Heading2"/>
      </w:pPr>
      <w:bookmarkStart w:id="22" w:name="escarpments-and-topography"/>
      <w:r>
        <w:t xml:space="preserve">Escarpments and Topography</w:t>
      </w:r>
      <w:bookmarkEnd w:id="22"/>
    </w:p>
    <w:p>
      <w:pPr>
        <w:pStyle w:val="FirstParagraph"/>
      </w:pPr>
      <w:r>
        <w:t xml:space="preserve">The fortress’s defensive strength was rooted in its topography. It was built atop a</w:t>
      </w:r>
      <w:r>
        <w:t xml:space="preserve"> </w:t>
      </w:r>
      <w:r>
        <w:rPr>
          <w:b/>
        </w:rPr>
        <w:t xml:space="preserve">sandstone bluff</w:t>
      </w:r>
      <w:r>
        <w:t xml:space="preserve"> </w:t>
      </w:r>
      <w:r>
        <w:t xml:space="preserve">which provided a commanding, naturally defensible position [2]. This elevation offered a clear view of the surrounding area and the river crossing.</w:t>
      </w:r>
    </w:p>
    <w:p>
      <w:pPr>
        <w:pStyle w:val="BodyText"/>
      </w:pPr>
      <w:r>
        <w:t xml:space="preserve">In the wider region, the</w:t>
      </w:r>
      <w:r>
        <w:t xml:space="preserve"> </w:t>
      </w:r>
      <w:r>
        <w:rPr>
          <w:b/>
        </w:rPr>
        <w:t xml:space="preserve">Mid-Cheshire Ridge</w:t>
      </w:r>
      <w:r>
        <w:t xml:space="preserve"> </w:t>
      </w:r>
      <w:r>
        <w:t xml:space="preserve">forms a significant escarpment running north-south. This elevated feature, which contained pre-Roman Iron Age hillforts, would have been a prominent landmark and a source of stone and other resources for the Roman military [3]. The Roman road network, crucial for military movement and supply, was laid out across this varied terrain, connecting Deva to other key settlements like Condate (Northwich) and Mediolanum (Whitchurch) [3].</w:t>
      </w:r>
    </w:p>
    <w:p>
      <w:pPr>
        <w:pStyle w:val="Heading2"/>
      </w:pPr>
      <w:bookmarkStart w:id="23" w:name="woodland-and-natural-resources"/>
      <w:r>
        <w:t xml:space="preserve">Woodland and Natural Resources</w:t>
      </w:r>
      <w:bookmarkEnd w:id="23"/>
    </w:p>
    <w:p>
      <w:pPr>
        <w:pStyle w:val="FirstParagraph"/>
      </w:pPr>
      <w:r>
        <w:t xml:space="preserve">The immediate area surrounding the fortress would have been subject to extensive</w:t>
      </w:r>
      <w:r>
        <w:t xml:space="preserve"> </w:t>
      </w:r>
      <w:r>
        <w:rPr>
          <w:b/>
        </w:rPr>
        <w:t xml:space="preserve">deforestation</w:t>
      </w:r>
      <w:r>
        <w:t xml:space="preserve"> </w:t>
      </w:r>
      <w:r>
        <w:t xml:space="preserve">to provide a clear field of fire for defense and to free up land for agriculture and the civilian settlement. However, the wider Cheshire landscape during the Roman period was significantly more wooded than it is today. This woodland was a vital source of timber for the massive construction needs of the fortress, including barracks, fortifications, and the fleet that may have been stationed there [4]. The clearance of this woodland was a major undertaking, transforming the landscape to meet the legion’s demands.</w:t>
      </w:r>
    </w:p>
    <w:p>
      <w:pPr>
        <w:pStyle w:val="Heading2"/>
      </w:pPr>
      <w:bookmarkStart w:id="24" w:name="farms-and-the-territorium"/>
      <w:r>
        <w:t xml:space="preserve">Farms and the</w:t>
      </w:r>
      <w:r>
        <w:t xml:space="preserve"> </w:t>
      </w:r>
      <w:r>
        <w:rPr>
          <w:i/>
        </w:rPr>
        <w:t xml:space="preserve">Territorium</w:t>
      </w:r>
      <w:bookmarkEnd w:id="24"/>
    </w:p>
    <w:p>
      <w:pPr>
        <w:pStyle w:val="FirstParagraph"/>
      </w:pPr>
      <w:r>
        <w:t xml:space="preserve">The legion’s need for a constant and reliable food supply necessitated the establishment of a formal</w:t>
      </w:r>
      <w:r>
        <w:t xml:space="preserve"> </w:t>
      </w:r>
      <w:r>
        <w:rPr>
          <w:i/>
        </w:rPr>
        <w:t xml:space="preserve">territorium</w:t>
      </w:r>
      <w:r>
        <w:t xml:space="preserve">—an agricultural zone dedicated to provisioning the troops. Direct archaeological evidence for this has been found at</w:t>
      </w:r>
      <w:r>
        <w:t xml:space="preserve"> </w:t>
      </w:r>
      <w:r>
        <w:rPr>
          <w:b/>
        </w:rPr>
        <w:t xml:space="preserve">Saighton Camp</w:t>
      </w:r>
      <w:r>
        <w:t xml:space="preserve">, located approximately 3km south-east of the fortress [5].</w:t>
      </w:r>
    </w:p>
    <w:p>
      <w:pPr>
        <w:pStyle w:val="BodyText"/>
      </w:pPr>
      <w:r>
        <w:t xml:space="preserve">Excavations at Saighton revealed:</w:t>
      </w:r>
      <w:r>
        <w:t xml:space="preserve"> </w:t>
      </w:r>
      <w:r>
        <w:t xml:space="preserve">*</w:t>
      </w:r>
      <w:r>
        <w:t xml:space="preserve"> </w:t>
      </w:r>
      <w:r>
        <w:rPr>
          <w:b/>
        </w:rPr>
        <w:t xml:space="preserve">Roman Field System:</w:t>
      </w:r>
      <w:r>
        <w:t xml:space="preserve"> </w:t>
      </w:r>
      <w:r>
        <w:t xml:space="preserve">Evidence of a Roman field system, likely part of a planned land division (possibly</w:t>
      </w:r>
      <w:r>
        <w:t xml:space="preserve"> </w:t>
      </w:r>
      <w:r>
        <w:rPr>
          <w:i/>
        </w:rPr>
        <w:t xml:space="preserve">centuriation</w:t>
      </w:r>
      <w:r>
        <w:t xml:space="preserve">), demonstrating organized agricultural production [5].</w:t>
      </w:r>
      <w:r>
        <w:t xml:space="preserve"> </w:t>
      </w:r>
      <w:r>
        <w:t xml:space="preserve">*</w:t>
      </w:r>
      <w:r>
        <w:t xml:space="preserve"> </w:t>
      </w:r>
      <w:r>
        <w:rPr>
          <w:b/>
        </w:rPr>
        <w:t xml:space="preserve">Probable Villa:</w:t>
      </w:r>
      <w:r>
        <w:t xml:space="preserve"> </w:t>
      </w:r>
      <w:r>
        <w:t xml:space="preserve">The discovery of a probable Roman villa or substantial building at Saighton suggests a high-status farmstead, likely managed by a veteran or a wealthy local, dedicated to supplying the legion with grain, meat, and other produce [5].</w:t>
      </w:r>
      <w:r>
        <w:t xml:space="preserve"> </w:t>
      </w:r>
      <w:r>
        <w:t xml:space="preserve">*</w:t>
      </w:r>
      <w:r>
        <w:t xml:space="preserve"> </w:t>
      </w:r>
      <w:r>
        <w:rPr>
          <w:b/>
        </w:rPr>
        <w:t xml:space="preserve">Livestock:</w:t>
      </w:r>
      <w:r>
        <w:t xml:space="preserve"> </w:t>
      </w:r>
      <w:r>
        <w:t xml:space="preserve">Palaeobotanical and faunal remains from the area confirm the presence of cattle, sheep, goats, and pigs, indicating a mixed farming economy focused on supplying the large military population [5].</w:t>
      </w:r>
    </w:p>
    <w:p>
      <w:pPr>
        <w:pStyle w:val="BodyText"/>
      </w:pPr>
      <w:r>
        <w:t xml:space="preserve">These findings confirm that the countryside immediately surrounding Deva Victrix was a carefully managed, militarized agricultural landscape, directly integrated into the fortress’s economy and survival.</w:t>
      </w:r>
    </w:p>
    <w:p>
      <w:r>
        <w:pict>
          <v:rect style="width:0;height:1.5pt" o:hralign="center" o:hrstd="t" o:hr="t"/>
        </w:pict>
      </w:r>
    </w:p>
    <w:p>
      <w:pPr>
        <w:pStyle w:val="Heading3"/>
      </w:pPr>
      <w:bookmarkStart w:id="25" w:name="references"/>
      <w:r>
        <w:t xml:space="preserve">References</w:t>
      </w:r>
      <w:bookmarkEnd w:id="25"/>
    </w:p>
    <w:p>
      <w:pPr>
        <w:pStyle w:val="FirstParagraph"/>
      </w:pPr>
      <w:r>
        <w:t xml:space="preserve">[1] Deva Victrix.</w:t>
      </w:r>
      <w:r>
        <w:t xml:space="preserve"> </w:t>
      </w:r>
      <w:r>
        <w:rPr>
          <w:i/>
        </w:rPr>
        <w:t xml:space="preserve">Wikipedia</w:t>
      </w:r>
      <w:r>
        <w:t xml:space="preserve">.</w:t>
      </w:r>
      <w:r>
        <w:t xml:space="preserve"> </w:t>
      </w:r>
      <w:r>
        <w:t xml:space="preserve">[2] Deva Victrix.</w:t>
      </w:r>
      <w:r>
        <w:t xml:space="preserve"> </w:t>
      </w:r>
      <w:r>
        <w:rPr>
          <w:i/>
        </w:rPr>
        <w:t xml:space="preserve">Wikipedia</w:t>
      </w:r>
      <w:r>
        <w:t xml:space="preserve">. (Information on River Dee, Sandstone Bluff, and Harbour)</w:t>
      </w:r>
      <w:r>
        <w:t xml:space="preserve"> </w:t>
      </w:r>
      <w:r>
        <w:t xml:space="preserve">[3] Roman Cheshire website content requirements.</w:t>
      </w:r>
      <w:r>
        <w:t xml:space="preserve"> </w:t>
      </w:r>
      <w:r>
        <w:rPr>
          <w:i/>
        </w:rPr>
        <w:t xml:space="preserve">Knowledge Base</w:t>
      </w:r>
      <w:r>
        <w:t xml:space="preserve">. (Information on Mid-Cheshire Ridge and Roman roads)</w:t>
      </w:r>
      <w:r>
        <w:t xml:space="preserve"> </w:t>
      </w:r>
      <w:r>
        <w:t xml:space="preserve">[4] The founding of the Roman fort of Deva Victrix at Chester.</w:t>
      </w:r>
      <w:r>
        <w:t xml:space="preserve"> </w:t>
      </w:r>
      <w:r>
        <w:rPr>
          <w:i/>
        </w:rPr>
        <w:t xml:space="preserve">Rickitt Partnership</w:t>
      </w:r>
      <w:r>
        <w:t xml:space="preserve">. (General context on fortress founding and resources)</w:t>
      </w:r>
      <w:r>
        <w:t xml:space="preserve"> </w:t>
      </w:r>
      <w:r>
        <w:t xml:space="preserve">[5] Excavations at Chester. Roman Land Division and a Probable Villa in the Hinterland of Deva: Excavation at Saighton Army Camp, Huntington, Chester.</w:t>
      </w:r>
      <w:r>
        <w:t xml:space="preserve"> </w:t>
      </w:r>
      <w:r>
        <w:rPr>
          <w:i/>
        </w:rPr>
        <w:t xml:space="preserve">Archaeopress</w:t>
      </w:r>
      <w:r>
        <w:t xml:space="preserve">. (Information on Saighton Camp, field system, and villa)</w:t>
      </w:r>
    </w:p>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lvl w:ilvl="1" w15:tentative="1">
      <w:start w:val="1"/>
      <w:numFmt w:val="decimal"/>
      <w:lvlText w:val="%1.%2"/>
      <w:lvlJc w:val="left"/>
      <w:pPr>
        <w:ind w:left="1440" w:hanging="360"/>
      </w:pPr>
    </w:lvl>
    <w:lvl w:ilvl="2" w15:tentative="1">
      <w:start w:val="1"/>
      <w:numFmt w:val="decimal"/>
      <w:lvlText w:val="%1.%2.%3"/>
      <w:lvlJc w:val="left"/>
      <w:pPr>
        <w:ind w:left="2160" w:hanging="360"/>
      </w:pPr>
    </w:lvl>
    <w:lvl w:ilvl="3" w15:tentative="1">
      <w:start w:val="1"/>
      <w:numFmt w:val="decimal"/>
      <w:lvlText w:val="%4)"/>
      <w:lvlJc w:val="left"/>
      <w:pPr>
        <w:ind w:left="2880" w:hanging="360"/>
      </w:pPr>
    </w:lvl>
    <w:lvl w:ilvl="4" w15:tentative="1">
      <w:start w:val="1"/>
      <w:numFmt w:val="decimal"/>
      <w:lvlText w:val="%5)"/>
      <w:lvlJc w:val="left"/>
      <w:pPr>
        <w:ind w:left="3600" w:hanging="360"/>
      </w:pPr>
    </w:lvl>
    <w:lvl w:ilvl="5" w15:tentative="1">
      <w:start w:val="1"/>
      <w:numFmt w:val="decimal"/>
      <w:lvlText w:val="%6)"/>
      <w:lvlJc w:val="left"/>
      <w:pPr>
        <w:ind w:left="4320" w:hanging="360"/>
      </w:pPr>
    </w:lvl>
    <w:lvl w:ilvl="6" w15:tentative="1">
      <w:start w:val="1"/>
      <w:numFmt w:val="decimal"/>
      <w:lvlText w:val="%7)"/>
      <w:lvlJc w:val="left"/>
      <w:pPr>
        <w:ind w:left="5040" w:hanging="360"/>
      </w:pPr>
    </w:lvl>
    <w:lvl w:ilvl="7" w15:tentative="1">
      <w:start w:val="1"/>
      <w:numFmt w:val="decimal"/>
      <w:lvlText w:val="%8)"/>
      <w:lvlJc w:val="left"/>
      <w:pPr>
        <w:ind w:left="5760" w:hanging="360"/>
      </w:pPr>
    </w:lvl>
    <w:lvl w:ilvl="8" w15:tentative="1">
      <w:start w:val="1"/>
      <w:numFmt w:val="decimal"/>
      <w:lvlText w:val="%9)"/>
      <w:lvlJc w:val="left"/>
      <w:pPr>
        <w:ind w:left="6480" w:hanging="360"/>
      </w:pPr>
    </w:lvl>
  </w:abstractNum>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rPr>
    </w:rPrDefault>
    <w:pPrDefault>
      <w:pPr>
        <w:spacing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color="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MdSpace">
    <w:name w:val="MdSpace"/>
    <w:basedOn w:val="Normal"/>
    <w:next w:val="Normal"/>
    <w:qFormat/>
    <w:pPr>
      <w:spacing w:before="0" w:after="0"/>
    </w:pPr>
    <w:rPr>
      <w:sz w:val="12"/>
      <w:szCs w:val="12"/>
    </w:rPr>
  </w:style>
  <w:style w:type="paragraph" w:styleId="MdCode">
    <w:name w:val="MdCode"/>
    <w:basedOn w:val="Normal"/>
    <w:next w:val="Normal"/>
    <w:qFormat/>
    <w:pPr>
      <w:pBdr>
        <w:top w:val="single" w:color="A5A5A5" w:sz="1" w:space="8"/>
        <w:bottom w:val="single" w:color="A5A5A5" w:sz="1" w:space="8"/>
        <w:left w:val="single" w:color="A5A5A5" w:sz="1" w:space="8"/>
        <w:right w:val="single" w:color="A5A5A5" w:sz="1" w:space="8"/>
      </w:pBdr>
      <w:spacing w:before="200" w:after="200"/>
    </w:pPr>
    <w:rPr>
      <w:rFonts w:ascii="Courier New" w:cs="Courier New" w:eastAsia="Courier New" w:hAnsi="Courier New"/>
      <w:color w:val="70AD47"/>
      <w:sz w:val="22"/>
      <w:szCs w:val="22"/>
    </w:rPr>
  </w:style>
  <w:style w:type="paragraph" w:styleId="MdHr">
    <w:name w:val="MdHr"/>
    <w:basedOn w:val="Normal"/>
    <w:next w:val="Normal"/>
    <w:qFormat/>
    <w:pPr>
      <w:pBdr>
        <w:bottom w:val="single" w:color="A5A5A5" w:sz="1" w:space="1"/>
      </w:pBdr>
      <w:spacing w:before="240" w:after="240"/>
    </w:pPr>
  </w:style>
  <w:style w:type="paragraph" w:styleId="MdBlockquote">
    <w:name w:val="MdBlockquote"/>
    <w:basedOn w:val="Normal"/>
    <w:next w:val="Normal"/>
    <w:qFormat/>
    <w:pPr>
      <w:pBdr>
        <w:left w:val="single" w:color="A5A5A5" w:sz="20" w:space="12"/>
      </w:pBdr>
      <w:spacing w:before="200" w:after="200"/>
      <w:ind w:left="360"/>
    </w:pPr>
    <w:rPr>
      <w:i/>
      <w:iCs/>
      <w:color w:val="666666"/>
    </w:rPr>
  </w:style>
  <w:style w:type="paragraph" w:styleId="MdHtml">
    <w:name w:val="MdHtml"/>
    <w:basedOn w:val="Normal"/>
    <w:next w:val="Normal"/>
    <w:qFormat/>
    <w:rPr>
      <w:rFonts w:ascii="Courier New" w:cs="Courier New" w:eastAsia="Courier New" w:hAnsi="Courier New"/>
      <w:color w:val="ED7D31"/>
    </w:rPr>
  </w:style>
  <w:style w:type="paragraph" w:styleId="MdDef">
    <w:name w:val="MdDef"/>
    <w:basedOn w:val="Normal"/>
    <w:next w:val="Normal"/>
    <w:qFormat/>
    <w:pPr>
      <w:ind w:left="720" w:hanging="360"/>
    </w:pPr>
  </w:style>
  <w:style w:type="paragraph" w:styleId="MdParagraph">
    <w:name w:val="MdParagraph"/>
    <w:basedOn w:val="Normal"/>
    <w:next w:val="Normal"/>
    <w:qFormat/>
    <w:pPr>
      <w:spacing w:before="120" w:after="120"/>
    </w:pPr>
  </w:style>
  <w:style w:type="paragraph" w:styleId="MdText">
    <w:name w:val="MdText"/>
    <w:basedOn w:val="Normal"/>
    <w:next w:val="Normal"/>
    <w:qFormat/>
  </w:style>
  <w:style w:type="paragraph" w:styleId="MdFootnote">
    <w:name w:val="MdFootnote"/>
    <w:basedOn w:val="Normal"/>
    <w:next w:val="Normal"/>
    <w:qFormat/>
    <w:rPr>
      <w:vertAlign w:val="superscript"/>
    </w:rPr>
  </w:style>
  <w:style w:type="paragraph" w:styleId="MdListItem">
    <w:name w:val="MdListItem"/>
    <w:basedOn w:val="Normal"/>
    <w:next w:val="Normal"/>
    <w:qFormat/>
    <w:pPr>
      <w:spacing w:before="60" w:after="60"/>
      <w:ind w:left="720" w:hanging="360"/>
    </w:pPr>
  </w:style>
  <w:style w:type="paragraph" w:styleId="MdTable">
    <w:name w:val="MdTable"/>
    <w:basedOn w:val="Normal"/>
    <w:next w:val="Normal"/>
    <w:qFormat/>
    <w:pPr>
      <w:spacing w:before="60" w:after="60"/>
    </w:pPr>
  </w:style>
  <w:style w:type="paragraph" w:styleId="MdTableHeader">
    <w:name w:val="MdTableHeader"/>
    <w:basedOn w:val="Normal"/>
    <w:next w:val="Normal"/>
    <w:qFormat/>
    <w:pPr>
      <w:spacing w:before="60" w:after="60"/>
    </w:pPr>
    <w:rPr>
      <w:b/>
      <w:bCs/>
      <w:sz w:val="22"/>
      <w:szCs w:val="22"/>
    </w:rPr>
  </w:style>
  <w:style w:type="paragraph" w:styleId="MdTableCell">
    <w:name w:val="MdTableCell"/>
    <w:basedOn w:val="Normal"/>
    <w:next w:val="Normal"/>
    <w:qFormat/>
    <w:pPr>
      <w:spacing w:before="40" w:after="40"/>
    </w:pPr>
    <w:rPr>
      <w:sz w:val="20"/>
      <w:szCs w:val="20"/>
    </w:rPr>
  </w:style>
  <w:style w:type="paragraph" w:styleId="MdHeading1">
    <w:name w:val="MdHeading1"/>
    <w:basedOn w:val="Normal"/>
    <w:next w:val="Normal"/>
    <w:qFormat/>
    <w:pPr>
      <w:keepNext/>
      <w:spacing w:before="480" w:after="240"/>
      <w:outlineLvl w:val="0"/>
    </w:pPr>
    <w:rPr>
      <w:b/>
      <w:bCs/>
      <w:sz w:val="36"/>
      <w:szCs w:val="36"/>
    </w:rPr>
  </w:style>
  <w:style w:type="paragraph" w:styleId="MdHeading2">
    <w:name w:val="MdHeading2"/>
    <w:basedOn w:val="Normal"/>
    <w:next w:val="Normal"/>
    <w:qFormat/>
    <w:pPr>
      <w:keepNext/>
      <w:spacing w:before="400" w:after="200"/>
      <w:outlineLvl w:val="1"/>
    </w:pPr>
    <w:rPr>
      <w:b/>
      <w:bCs/>
      <w:sz w:val="32"/>
      <w:szCs w:val="32"/>
    </w:rPr>
  </w:style>
  <w:style w:type="paragraph" w:styleId="MdHeading3">
    <w:name w:val="MdHeading3"/>
    <w:basedOn w:val="Normal"/>
    <w:next w:val="Normal"/>
    <w:qFormat/>
    <w:pPr>
      <w:keepNext/>
      <w:spacing w:before="320" w:after="160"/>
      <w:outlineLvl w:val="2"/>
    </w:pPr>
    <w:rPr>
      <w:b/>
      <w:bCs/>
      <w:sz w:val="28"/>
      <w:szCs w:val="28"/>
    </w:rPr>
  </w:style>
  <w:style w:type="paragraph" w:styleId="MdHeading4">
    <w:name w:val="MdHeading4"/>
    <w:basedOn w:val="Normal"/>
    <w:next w:val="Normal"/>
    <w:qFormat/>
    <w:pPr>
      <w:keepNext/>
      <w:spacing w:before="280" w:after="140"/>
      <w:outlineLvl w:val="3"/>
    </w:pPr>
    <w:rPr>
      <w:b/>
      <w:bCs/>
      <w:sz w:val="26"/>
      <w:szCs w:val="26"/>
    </w:rPr>
  </w:style>
  <w:style w:type="paragraph" w:styleId="MdHeading5">
    <w:name w:val="MdHeading5"/>
    <w:basedOn w:val="Normal"/>
    <w:next w:val="Normal"/>
    <w:qFormat/>
    <w:pPr>
      <w:keepNext/>
      <w:spacing w:before="240" w:after="120"/>
      <w:outlineLvl w:val="4"/>
    </w:pPr>
    <w:rPr>
      <w:b/>
      <w:bCs/>
      <w:i/>
      <w:iCs/>
      <w:sz w:val="24"/>
      <w:szCs w:val="24"/>
    </w:rPr>
  </w:style>
  <w:style w:type="paragraph" w:styleId="MdHeading6">
    <w:name w:val="MdHeading6"/>
    <w:basedOn w:val="Normal"/>
    <w:next w:val="Normal"/>
    <w:qFormat/>
    <w:pPr>
      <w:keepNext/>
      <w:spacing w:before="240" w:after="120"/>
      <w:outlineLvl w:val="5"/>
    </w:pPr>
    <w:rPr>
      <w:b w:val="false"/>
      <w:bCs w:val="false"/>
      <w:i/>
      <w:iCs/>
      <w:sz w:val="24"/>
      <w:szCs w:val="24"/>
    </w:rPr>
  </w:style>
  <w:style w:type="character" w:styleId="MdTag">
    <w:name w:val="MdTag"/>
    <w:basedOn w:val="Normal"/>
    <w:next w:val="Normal"/>
    <w:uiPriority w:val="99"/>
    <w:unhideWhenUsed/>
    <w:qFormat/>
    <w:rPr>
      <w:rFonts w:ascii="Courier New" w:cs="Courier New" w:eastAsia="Courier New" w:hAnsi="Courier New"/>
      <w:color w:val="ED7D31"/>
    </w:rPr>
  </w:style>
  <w:style w:type="character" w:styleId="MdLink">
    <w:name w:val="MdLink"/>
    <w:basedOn w:val="Normal"/>
    <w:next w:val="Normal"/>
    <w:uiPriority w:val="99"/>
    <w:unhideWhenUsed/>
    <w:qFormat/>
    <w:rPr>
      <w:color w:val="0563C1"/>
      <w:u w:val="single"/>
    </w:rPr>
  </w:style>
  <w:style w:type="character" w:styleId="MdStrong">
    <w:name w:val="MdStrong"/>
    <w:basedOn w:val="Normal"/>
    <w:next w:val="Normal"/>
    <w:uiPriority w:val="99"/>
    <w:unhideWhenUsed/>
    <w:qFormat/>
    <w:rPr>
      <w:b/>
      <w:bCs/>
    </w:rPr>
  </w:style>
  <w:style w:type="character" w:styleId="MdEm">
    <w:name w:val="MdEm"/>
    <w:basedOn w:val="Normal"/>
    <w:next w:val="Normal"/>
    <w:uiPriority w:val="99"/>
    <w:unhideWhenUsed/>
    <w:qFormat/>
    <w:rPr>
      <w:i/>
      <w:iCs/>
    </w:rPr>
  </w:style>
  <w:style w:type="character" w:styleId="MdCodespan">
    <w:name w:val="MdCodespan"/>
    <w:basedOn w:val="Normal"/>
    <w:next w:val="Normal"/>
    <w:uiPriority w:val="99"/>
    <w:unhideWhenUsed/>
    <w:qFormat/>
    <w:rPr>
      <w:rFonts w:ascii="Courier New" w:cs="Courier New" w:eastAsia="Courier New" w:hAnsi="Courier New"/>
      <w:color w:val="70AD47"/>
    </w:rPr>
  </w:style>
  <w:style w:type="character" w:styleId="MdDel">
    <w:name w:val="MdDel"/>
    <w:basedOn w:val="Normal"/>
    <w:next w:val="Normal"/>
    <w:uiPriority w:val="99"/>
    <w:unhideWhenUsed/>
    <w:qFormat/>
    <w:rPr>
      <w:strike/>
    </w:rPr>
  </w:style>
  <w:style w:type="character" w:styleId="MdBr">
    <w:name w:val="MdBr"/>
    <w:basedOn w:val="Normal"/>
    <w:next w:val="Normal"/>
    <w:uiPriority w:val="99"/>
    <w:unhideWhenUsed/>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bjdmtnpu_hhekygh_xgk4" Type="http://schemas.openxmlformats.org/officeDocument/2006/relationships/hyperlink" Target="https://en.wikipedia.org/wiki/Deva_Victrix" TargetMode="External"/><Relationship Id="rIdk6rznxdctehyebtvmkxyt" Type="http://schemas.openxmlformats.org/officeDocument/2006/relationships/hyperlink" Target="https://milliethom.com/tag/triassic-sandstone-at-chester/" TargetMode="External"/><Relationship Id="rIdqe3-saaujp_uiusekeu-7" Type="http://schemas.openxmlformats.org/officeDocument/2006/relationships/hyperlink" Target="https://www.kingsleyvillage.co.uk/index.php/news/305-pictorial-history-of-the-sandstone-ridge" TargetMode="External"/><Relationship Id="rIdn90d_avodmkktd9u0kzxp" Type="http://schemas.openxmlformats.org/officeDocument/2006/relationships/hyperlink" Target="https://nationalcharacterareas.co.uk/cheshire-sandstone-ridge/description/" TargetMode="External"/><Relationship Id="rIdi24qknfweqxr1roen3hbm" Type="http://schemas.openxmlformats.org/officeDocument/2006/relationships/hyperlink" Target="https://en.wikipedia.org/wiki/Bickerton_Hill" TargetMode="External"/><Relationship Id="rIdqwivyzu0hnts_ecdl3zbw" Type="http://schemas.openxmlformats.org/officeDocument/2006/relationships/hyperlink" Target="https://basedinchurton.co.uk/2025/12/01/exploring-maiden-castle-iron-age-hillfort-bickerton-hill-mid-cheshire-sandstone-ridge/" TargetMode="External"/><Relationship Id="rIdymtmfow89uw-otkut71lg" Type="http://schemas.openxmlformats.org/officeDocument/2006/relationships/hyperlink" Target="https://wikishire.co.uk/wiki/Bickerton_Hill" TargetMode="External"/><Relationship Id="rIdatgyjdtosdvf6uujfwtfz" Type="http://schemas.openxmlformats.org/officeDocument/2006/relationships/hyperlink" Target="https://www.hoolehistoryheritagesociety.org.uk/wiki/Roman_Hoole" TargetMode="External"/><Relationship Id="rIduitgyrq6fr84qn9ig0mjq" Type="http://schemas.openxmlformats.org/officeDocument/2006/relationships/hyperlink" Target="https://www.roman-britain.co.uk/places/manley/" TargetMode="External"/><Relationship Id="rIdzi7ltwt-noulbb3tcfa91" Type="http://schemas.openxmlformats.org/officeDocument/2006/relationships/hyperlink" Target="https://www.roman-britain.co.uk/military/roman-fortresses-forts-and-camps/the-roman-military-in-britain-part-5-temporary-marching-camps-in-england/" TargetMode="External"/><Relationship Id="rId16"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Un-named</cp:lastModifiedBy>
  <cp:revision>1</cp:revision>
  <dcterms:created xsi:type="dcterms:W3CDTF">2025-12-12T19:20:03.848Z</dcterms:created>
  <dcterms:modified xsi:type="dcterms:W3CDTF">2025-12-12T19:20:03.848Z</dcterms:modified>
</cp:coreProperties>
</file>

<file path=docProps/custom.xml><?xml version="1.0" encoding="utf-8"?>
<Properties xmlns="http://schemas.openxmlformats.org/officeDocument/2006/custom-properties" xmlns:vt="http://schemas.openxmlformats.org/officeDocument/2006/docPropsVTypes"/>
</file>